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WinBoLL 源码 LICENSE-Private-Demo 规范说明书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LICENSE-Private-Demo</w:t>
      </w:r>
      <w:bookmarkEnd w:id="0"/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WinBoLL 源码公共转私有继承开发规范守则</w:t>
      </w:r>
      <w:bookmarkEnd w:id="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核心声明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本文档</w:t>
      </w:r>
      <w:r>
        <w:rPr>
          <w:rFonts w:eastAsia="等线" w:ascii="Arial" w:cs="Arial" w:hAnsi="Arial"/>
          <w:b w:val="true"/>
          <w:sz w:val="22"/>
        </w:rPr>
        <w:t>唯一核心设计目的</w:t>
      </w:r>
      <w:r>
        <w:rPr>
          <w:rFonts w:eastAsia="等线" w:ascii="Arial" w:cs="Arial" w:hAnsi="Arial"/>
          <w:sz w:val="22"/>
        </w:rPr>
        <w:t>：通过文件标识、分支隔离、操作规范、责任界定四重约束，</w:t>
      </w:r>
      <w:r>
        <w:rPr>
          <w:rFonts w:eastAsia="等线" w:ascii="Arial" w:cs="Arial" w:hAnsi="Arial"/>
          <w:b w:val="true"/>
          <w:sz w:val="22"/>
        </w:rPr>
        <w:t>从根源规避私有开发分支代码被人为合并、推送、提交至公共开源主流分支的风险</w:t>
      </w:r>
      <w:r>
        <w:rPr>
          <w:rFonts w:eastAsia="等线" w:ascii="Arial" w:cs="Arial" w:hAnsi="Arial"/>
          <w:sz w:val="22"/>
        </w:rPr>
        <w:t>，明确人为操作失误、违规合并的全部责任归属，同时保证私有分支可正常同步、拉取公共主流分支的上游更新。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一、文件宗旨与风险防控说明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本文件为 WinBoLL 项目公共开源分支转为私有独立分支开发的</w:t>
      </w:r>
      <w:r>
        <w:rPr>
          <w:rFonts w:eastAsia="等线" w:ascii="Arial" w:cs="Arial" w:hAnsi="Arial"/>
          <w:b w:val="true"/>
          <w:sz w:val="22"/>
        </w:rPr>
        <w:t>强制标准化操作手册与责任界定文件</w:t>
      </w:r>
      <w:r>
        <w:rPr>
          <w:rFonts w:eastAsia="等线" w:ascii="Arial" w:cs="Arial" w:hAnsi="Arial"/>
          <w:sz w:val="22"/>
        </w:rPr>
        <w:t>，核心风控目标：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严格隔离公共开源分支与私有开发分支，通过授权文件标记实现分支属性一眼可辨，杜绝人为操作混淆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 xml:space="preserve">重点防控人为操作导致的私有分支代码违规合并、回合、推送至公共 </w:t>
      </w:r>
      <w:r>
        <w:rPr>
          <w:rFonts w:eastAsia="Consolas" w:ascii="Consolas" w:cs="Consolas" w:hAnsi="Consolas"/>
          <w:b w:val="true"/>
          <w:sz w:val="22"/>
          <w:shd w:fill="EFF0F1"/>
        </w:rPr>
        <w:t>winboll</w:t>
      </w:r>
      <w:r>
        <w:rPr>
          <w:rFonts w:eastAsia="等线" w:ascii="Arial" w:cs="Arial" w:hAnsi="Arial"/>
          <w:b w:val="true"/>
          <w:sz w:val="22"/>
        </w:rPr>
        <w:t xml:space="preserve"> 主流分支</w:t>
      </w:r>
      <w:r>
        <w:rPr>
          <w:rFonts w:eastAsia="等线" w:ascii="Arial" w:cs="Arial" w:hAnsi="Arial"/>
          <w:sz w:val="22"/>
        </w:rPr>
        <w:t>，从流程上封堵合并风险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明确所有开发提交者的操作责任，违规合并公共分支的行为由操作人承担全部代码泄露、合规风险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规范私有分支初始化全流程，保证私有分支仅可单向同步公共分支更新，禁止任何反向代码流入公共分支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二、公私分支授权标识文件定义（风控核心依据）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 公共开源分支唯一标识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文件名：LICENSE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仅允许存在于公共主流分支 </w:t>
      </w:r>
      <w:r>
        <w:rPr>
          <w:rFonts w:eastAsia="Consolas" w:ascii="Consolas" w:cs="Consolas" w:hAnsi="Consolas"/>
          <w:sz w:val="22"/>
          <w:shd w:fill="EFF0F1"/>
        </w:rPr>
        <w:t>winboll</w:t>
      </w:r>
      <w:r>
        <w:rPr>
          <w:rFonts w:eastAsia="等线" w:ascii="Arial" w:cs="Arial" w:hAnsi="Arial"/>
          <w:sz w:val="22"/>
        </w:rPr>
        <w:t xml:space="preserve"> 及官方公共衍生分支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标识当前分支为</w:t>
      </w:r>
      <w:r>
        <w:rPr>
          <w:rFonts w:eastAsia="等线" w:ascii="Arial" w:cs="Arial" w:hAnsi="Arial"/>
          <w:b w:val="true"/>
          <w:sz w:val="22"/>
        </w:rPr>
        <w:t>开源公开可贡献分支</w:t>
      </w:r>
      <w:r>
        <w:rPr>
          <w:rFonts w:eastAsia="等线" w:ascii="Arial" w:cs="Arial" w:hAnsi="Arial"/>
          <w:sz w:val="22"/>
        </w:rPr>
        <w:t>，遵循原开源授权协议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严禁私有分支内保留、恢复此文件</w:t>
      </w:r>
      <w:r>
        <w:rPr>
          <w:rFonts w:eastAsia="等线" w:ascii="Arial" w:cs="Arial" w:hAnsi="Arial"/>
          <w:sz w:val="22"/>
        </w:rPr>
        <w:t>，出现即判定分支属性异常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 私有开发分支唯一标识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文件名：LICENSE-Private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仅允许存在于私有开发分支，</w:t>
      </w:r>
      <w:r>
        <w:rPr>
          <w:rFonts w:eastAsia="等线" w:ascii="Arial" w:cs="Arial" w:hAnsi="Arial"/>
          <w:b w:val="true"/>
          <w:sz w:val="22"/>
        </w:rPr>
        <w:t xml:space="preserve">绝对禁止出现在公共 </w:t>
      </w:r>
      <w:r>
        <w:rPr>
          <w:rFonts w:eastAsia="Consolas" w:ascii="Consolas" w:cs="Consolas" w:hAnsi="Consolas"/>
          <w:b w:val="true"/>
          <w:sz w:val="22"/>
          <w:shd w:fill="EFF0F1"/>
        </w:rPr>
        <w:t>winboll</w:t>
      </w:r>
      <w:r>
        <w:rPr>
          <w:rFonts w:eastAsia="等线" w:ascii="Arial" w:cs="Arial" w:hAnsi="Arial"/>
          <w:b w:val="true"/>
          <w:sz w:val="22"/>
        </w:rPr>
        <w:t xml:space="preserve"> 分支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标识当前分支为</w:t>
      </w:r>
      <w:r>
        <w:rPr>
          <w:rFonts w:eastAsia="等线" w:ascii="Arial" w:cs="Arial" w:hAnsi="Arial"/>
          <w:b w:val="true"/>
          <w:sz w:val="22"/>
        </w:rPr>
        <w:t>私有闭源分支</w:t>
      </w:r>
      <w:r>
        <w:rPr>
          <w:rFonts w:eastAsia="等线" w:ascii="Arial" w:cs="Arial" w:hAnsi="Arial"/>
          <w:sz w:val="22"/>
        </w:rPr>
        <w:t>，代码仅限内部使用，禁止公开、禁止对外贡献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为本分支私有属性的法定判定依据，也是禁止合并至公共分支的核心标记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三、分支管理与合并风控规则（强制遵守）</w:t>
      </w:r>
      <w:bookmarkEnd w:id="7"/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公共主流分支</w:t>
      </w:r>
      <w:r>
        <w:rPr>
          <w:rFonts w:eastAsia="等线" w:ascii="Arial" w:cs="Arial" w:hAnsi="Arial"/>
          <w:sz w:val="22"/>
        </w:rPr>
        <w:t xml:space="preserve">：固定为 </w:t>
      </w:r>
      <w:r>
        <w:rPr>
          <w:rFonts w:eastAsia="Consolas" w:ascii="Consolas" w:cs="Consolas" w:hAnsi="Consolas"/>
          <w:sz w:val="22"/>
          <w:shd w:fill="EFF0F1"/>
        </w:rPr>
        <w:t>winboll</w:t>
      </w:r>
      <w:r>
        <w:rPr>
          <w:rFonts w:eastAsia="等线" w:ascii="Arial" w:cs="Arial" w:hAnsi="Arial"/>
          <w:sz w:val="22"/>
        </w:rPr>
        <w:t xml:space="preserve">，为项目唯一开源主线，仅保留 </w:t>
      </w:r>
      <w:r>
        <w:rPr>
          <w:rFonts w:eastAsia="Consolas" w:ascii="Consolas" w:cs="Consolas" w:hAnsi="Consolas"/>
          <w:sz w:val="22"/>
          <w:shd w:fill="EFF0F1"/>
        </w:rPr>
        <w:t>LICENSE</w:t>
      </w:r>
      <w:r>
        <w:rPr>
          <w:rFonts w:eastAsia="等线" w:ascii="Arial" w:cs="Arial" w:hAnsi="Arial"/>
          <w:sz w:val="22"/>
        </w:rPr>
        <w:t xml:space="preserve"> 文件，</w:t>
      </w:r>
      <w:r>
        <w:rPr>
          <w:rFonts w:eastAsia="等线" w:ascii="Arial" w:cs="Arial" w:hAnsi="Arial"/>
          <w:b w:val="true"/>
          <w:sz w:val="22"/>
        </w:rPr>
        <w:t>禁止接收任何私有分支的合并、提交、推送请求</w:t>
      </w:r>
      <w:r>
        <w:rPr>
          <w:rFonts w:eastAsia="等线" w:ascii="Arial" w:cs="Arial" w:hAnsi="Arial"/>
          <w:sz w:val="22"/>
        </w:rPr>
        <w:t>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私有开发分支</w:t>
      </w:r>
      <w:r>
        <w:rPr>
          <w:rFonts w:eastAsia="等线" w:ascii="Arial" w:cs="Arial" w:hAnsi="Arial"/>
          <w:sz w:val="22"/>
        </w:rPr>
        <w:t xml:space="preserve">：统一从 </w:t>
      </w:r>
      <w:r>
        <w:rPr>
          <w:rFonts w:eastAsia="Consolas" w:ascii="Consolas" w:cs="Consolas" w:hAnsi="Consolas"/>
          <w:sz w:val="22"/>
          <w:shd w:fill="EFF0F1"/>
        </w:rPr>
        <w:t>winboll</w:t>
      </w:r>
      <w:r>
        <w:rPr>
          <w:rFonts w:eastAsia="等线" w:ascii="Arial" w:cs="Arial" w:hAnsi="Arial"/>
          <w:sz w:val="22"/>
        </w:rPr>
        <w:t xml:space="preserve"> 分支检出，命名固定格式为 </w:t>
      </w:r>
      <w:r>
        <w:rPr>
          <w:rFonts w:eastAsia="Consolas" w:ascii="Consolas" w:cs="Consolas" w:hAnsi="Consolas"/>
          <w:sz w:val="22"/>
          <w:shd w:fill="EFF0F1"/>
        </w:rPr>
        <w:t>private-demo-*</w:t>
      </w:r>
      <w:r>
        <w:rPr>
          <w:rFonts w:eastAsia="等线" w:ascii="Arial" w:cs="Arial" w:hAnsi="Arial"/>
          <w:sz w:val="22"/>
        </w:rPr>
        <w:t>，与公共分支物理隔离。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核心合并风控铁则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私有分支 → 公共分支：</w:t>
      </w:r>
      <w:r>
        <w:rPr>
          <w:rFonts w:eastAsia="等线" w:ascii="Arial" w:cs="Arial" w:hAnsi="Arial"/>
          <w:b w:val="true"/>
          <w:sz w:val="22"/>
        </w:rPr>
        <w:t>永久禁止任何形式的合并、推送、PR 提交、代码回合，人为操作也绝不允许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公共分支 → 私有分支：允许正常拉取、同步上游更新，不影响私有开发迭代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所有仓库提交者、合并操作者，均视为已阅读并完全认可本规则，</w:t>
      </w:r>
      <w:r>
        <w:rPr>
          <w:rFonts w:eastAsia="等线" w:ascii="Arial" w:cs="Arial" w:hAnsi="Arial"/>
          <w:b w:val="true"/>
          <w:sz w:val="22"/>
        </w:rPr>
        <w:t>人为执行私有分支向公共分支的合并操作，由操作人承担全部代码泄露、合规违约、项目安全风险</w:t>
      </w:r>
      <w:r>
        <w:rPr>
          <w:rFonts w:eastAsia="等线" w:ascii="Arial" w:cs="Arial" w:hAnsi="Arial"/>
          <w:sz w:val="22"/>
        </w:rPr>
        <w:t>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四、公共转私有标准化操作步骤（锁死合并风险）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请严格按顺序执行，每一步均为风控必要环节，不可跳过、不可修改顺序。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基于公共主流分支 </w:t>
      </w:r>
      <w:r>
        <w:rPr>
          <w:rFonts w:eastAsia="Consolas" w:ascii="Consolas" w:cs="Consolas" w:hAnsi="Consolas"/>
          <w:sz w:val="22"/>
          <w:shd w:fill="EFF0F1"/>
        </w:rPr>
        <w:t>winboll</w:t>
      </w:r>
      <w:r>
        <w:rPr>
          <w:rFonts w:eastAsia="等线" w:ascii="Arial" w:cs="Arial" w:hAnsi="Arial"/>
          <w:sz w:val="22"/>
        </w:rPr>
        <w:t xml:space="preserve">，新建私有开发分支，严格使用 </w:t>
      </w:r>
      <w:r>
        <w:rPr>
          <w:rFonts w:eastAsia="Consolas" w:ascii="Consolas" w:cs="Consolas" w:hAnsi="Consolas"/>
          <w:sz w:val="22"/>
          <w:shd w:fill="EFF0F1"/>
        </w:rPr>
        <w:t>private-demo-*</w:t>
      </w:r>
      <w:r>
        <w:rPr>
          <w:rFonts w:eastAsia="等线" w:ascii="Arial" w:cs="Arial" w:hAnsi="Arial"/>
          <w:sz w:val="22"/>
        </w:rPr>
        <w:t xml:space="preserve"> 命名，从名称上明确分支私有属性，避免人为混淆。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本地仓库切换至新建私有分支，确认当前分支名称、检出来源无误。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 xml:space="preserve">永久删除项目根目录公共授权文件 </w:t>
      </w:r>
      <w:r>
        <w:rPr>
          <w:rFonts w:eastAsia="Consolas" w:ascii="Consolas" w:cs="Consolas" w:hAnsi="Consolas"/>
          <w:b w:val="true"/>
          <w:sz w:val="22"/>
          <w:shd w:fill="EFF0F1"/>
        </w:rPr>
        <w:t>LICENSE</w:t>
      </w:r>
      <w:r>
        <w:rPr>
          <w:rFonts w:eastAsia="等线" w:ascii="Arial" w:cs="Arial" w:hAnsi="Arial"/>
          <w:sz w:val="22"/>
        </w:rPr>
        <w:t>，彻底移除公共分支标识，断绝误合并的标识漏洞。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将本规范文件 </w:t>
      </w:r>
      <w:r>
        <w:rPr>
          <w:rFonts w:eastAsia="Consolas" w:ascii="Consolas" w:cs="Consolas" w:hAnsi="Consolas"/>
          <w:sz w:val="22"/>
          <w:shd w:fill="EFF0F1"/>
        </w:rPr>
        <w:t>LICENSE-Private-Demo</w:t>
      </w:r>
      <w:r>
        <w:rPr>
          <w:rFonts w:eastAsia="等线" w:ascii="Arial" w:cs="Arial" w:hAnsi="Arial"/>
          <w:sz w:val="22"/>
        </w:rPr>
        <w:t xml:space="preserve"> 复制并重命名为 </w:t>
      </w:r>
      <w:r>
        <w:rPr>
          <w:rFonts w:eastAsia="Consolas" w:ascii="Consolas" w:cs="Consolas" w:hAnsi="Consolas"/>
          <w:sz w:val="22"/>
          <w:shd w:fill="EFF0F1"/>
        </w:rPr>
        <w:t>LICENSE-Private</w:t>
      </w:r>
      <w:r>
        <w:rPr>
          <w:rFonts w:eastAsia="等线" w:ascii="Arial" w:cs="Arial" w:hAnsi="Arial"/>
          <w:sz w:val="22"/>
        </w:rPr>
        <w:t>，作为私有分支生效授权文件。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将以上所有变更执行一次性 Git 提交，</w:t>
      </w:r>
      <w:r>
        <w:rPr>
          <w:rFonts w:eastAsia="等线" w:ascii="Arial" w:cs="Arial" w:hAnsi="Arial"/>
          <w:b w:val="true"/>
          <w:sz w:val="22"/>
        </w:rPr>
        <w:t>提交信息必须固定使用以下内容，不可修改</w:t>
      </w:r>
      <w:r>
        <w:rPr>
          <w:rFonts w:eastAsia="等线" w:ascii="Arial" w:cs="Arial" w:hAnsi="Arial"/>
          <w:sz w:val="22"/>
        </w:rPr>
        <w:t>：</w:t>
      </w:r>
    </w:p>
    <w:tbl>
      <w:tblPr>
        <w:tblW w:w="0" w:type="auto"/>
        <w:tblInd w:w="45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7827"/>
      </w:tblGrid>
      <w:tr>
        <w:tc>
          <w:tcPr>
            <w:tcW w:w="7827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初始化私有开发分支，已切换私有授权文件，本分支禁止任何人为合并、推送至 winboll 公共分支</w:t>
            </w:r>
          </w:p>
        </w:tc>
      </w:tr>
    </w:tbl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提交完成后，本分支正式转为私有开发状态，后续所有代码提交、分支合并、版本迭代，均严禁指向公共 </w:t>
      </w:r>
      <w:r>
        <w:rPr>
          <w:rFonts w:eastAsia="Consolas" w:ascii="Consolas" w:cs="Consolas" w:hAnsi="Consolas"/>
          <w:sz w:val="22"/>
          <w:shd w:fill="EFF0F1"/>
        </w:rPr>
        <w:t>winboll</w:t>
      </w:r>
      <w:r>
        <w:rPr>
          <w:rFonts w:eastAsia="等线" w:ascii="Arial" w:cs="Arial" w:hAnsi="Arial"/>
          <w:sz w:val="22"/>
        </w:rPr>
        <w:t xml:space="preserve"> 分支。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五、人为操作责任界定（核心补充条款）</w:t>
      </w:r>
      <w:bookmarkEnd w:id="9"/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本分支所有开发者、代码提交者、分支合并操作者，均视为</w:t>
      </w:r>
      <w:r>
        <w:rPr>
          <w:rFonts w:eastAsia="等线" w:ascii="Arial" w:cs="Arial" w:hAnsi="Arial"/>
          <w:b w:val="true"/>
          <w:sz w:val="22"/>
        </w:rPr>
        <w:t>完全知晓本分支的私有属性与合并禁令</w:t>
      </w:r>
      <w:r>
        <w:rPr>
          <w:rFonts w:eastAsia="等线" w:ascii="Arial" w:cs="Arial" w:hAnsi="Arial"/>
          <w:sz w:val="22"/>
        </w:rPr>
        <w:t>，自愿遵守本规范全部约束。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 xml:space="preserve">无论故意或过失，凡是人为执行私有分支向公共 </w:t>
      </w:r>
      <w:r>
        <w:rPr>
          <w:rFonts w:eastAsia="Consolas" w:ascii="Consolas" w:cs="Consolas" w:hAnsi="Consolas"/>
          <w:b w:val="true"/>
          <w:sz w:val="22"/>
          <w:shd w:fill="EFF0F1"/>
        </w:rPr>
        <w:t>winboll</w:t>
      </w:r>
      <w:r>
        <w:rPr>
          <w:rFonts w:eastAsia="等线" w:ascii="Arial" w:cs="Arial" w:hAnsi="Arial"/>
          <w:b w:val="true"/>
          <w:sz w:val="22"/>
        </w:rPr>
        <w:t xml:space="preserve"> 分支的合并、推送、PR 提交、代码回合操作，全部责任由执行操作的本人独立承担</w:t>
      </w:r>
      <w:r>
        <w:rPr>
          <w:rFonts w:eastAsia="等线" w:ascii="Arial" w:cs="Arial" w:hAnsi="Arial"/>
          <w:sz w:val="22"/>
        </w:rPr>
        <w:t>，项目方不承担任何因人为违规操作导致的代码泄露、开源合规、版本污染风险。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仓库管理员需严格校验合并请求的分支标识与授权文件，发现带有 </w:t>
      </w:r>
      <w:r>
        <w:rPr>
          <w:rFonts w:eastAsia="Consolas" w:ascii="Consolas" w:cs="Consolas" w:hAnsi="Consolas"/>
          <w:sz w:val="22"/>
          <w:shd w:fill="EFF0F1"/>
        </w:rPr>
        <w:t>LICENSE-Private</w:t>
      </w:r>
      <w:r>
        <w:rPr>
          <w:rFonts w:eastAsia="等线" w:ascii="Arial" w:cs="Arial" w:hAnsi="Arial"/>
          <w:sz w:val="22"/>
        </w:rPr>
        <w:t xml:space="preserve"> 标记的分支申请合并至公共分支，一律直接拒绝，并记录操作人信息。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分支属性校验以根目录授权文件为唯一标准：只要分支内存在 </w:t>
      </w:r>
      <w:r>
        <w:rPr>
          <w:rFonts w:eastAsia="Consolas" w:ascii="Consolas" w:cs="Consolas" w:hAnsi="Consolas"/>
          <w:sz w:val="22"/>
          <w:shd w:fill="EFF0F1"/>
        </w:rPr>
        <w:t>LICENSE-Private</w:t>
      </w:r>
      <w:r>
        <w:rPr>
          <w:rFonts w:eastAsia="等线" w:ascii="Arial" w:cs="Arial" w:hAnsi="Arial"/>
          <w:sz w:val="22"/>
        </w:rPr>
        <w:t xml:space="preserve"> 文件，就绝对禁止向公共分支发起任何合并操作。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六、分支状态校验与异常处理</w:t>
      </w:r>
      <w:bookmarkEnd w:id="10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合规公共分支：仅存在 </w:t>
      </w:r>
      <w:r>
        <w:rPr>
          <w:rFonts w:eastAsia="Consolas" w:ascii="Consolas" w:cs="Consolas" w:hAnsi="Consolas"/>
          <w:sz w:val="22"/>
          <w:shd w:fill="EFF0F1"/>
        </w:rPr>
        <w:t>LICENSE</w:t>
      </w:r>
      <w:r>
        <w:rPr>
          <w:rFonts w:eastAsia="等线" w:ascii="Arial" w:cs="Arial" w:hAnsi="Arial"/>
          <w:sz w:val="22"/>
        </w:rPr>
        <w:t xml:space="preserve">，无 </w:t>
      </w:r>
      <w:r>
        <w:rPr>
          <w:rFonts w:eastAsia="Consolas" w:ascii="Consolas" w:cs="Consolas" w:hAnsi="Consolas"/>
          <w:sz w:val="22"/>
          <w:shd w:fill="EFF0F1"/>
        </w:rPr>
        <w:t>LICENSE-Private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合规私有分支：仅存在 </w:t>
      </w:r>
      <w:r>
        <w:rPr>
          <w:rFonts w:eastAsia="Consolas" w:ascii="Consolas" w:cs="Consolas" w:hAnsi="Consolas"/>
          <w:sz w:val="22"/>
          <w:shd w:fill="EFF0F1"/>
        </w:rPr>
        <w:t>LICENSE-Private</w:t>
      </w:r>
      <w:r>
        <w:rPr>
          <w:rFonts w:eastAsia="等线" w:ascii="Arial" w:cs="Arial" w:hAnsi="Arial"/>
          <w:sz w:val="22"/>
        </w:rPr>
        <w:t xml:space="preserve">，无 </w:t>
      </w:r>
      <w:r>
        <w:rPr>
          <w:rFonts w:eastAsia="Consolas" w:ascii="Consolas" w:cs="Consolas" w:hAnsi="Consolas"/>
          <w:sz w:val="22"/>
          <w:shd w:fill="EFF0F1"/>
        </w:rPr>
        <w:t>LICENSE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异常状态：两个文件同时存在 / 均不存在 → 立即停止开发与提交，按本规范重置分支状态，严禁执行任何合并操作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575474">
    <w:lvl>
      <w:start w:val="1"/>
      <w:numFmt w:val="decimal"/>
      <w:suff w:val="tab"/>
      <w:lvlText w:val="%1."/>
      <w:rPr>
        <w:color w:val="3370ff"/>
      </w:rPr>
    </w:lvl>
  </w:abstractNum>
  <w:abstractNum w:abstractNumId="575475">
    <w:lvl>
      <w:start w:val="2"/>
      <w:numFmt w:val="decimal"/>
      <w:suff w:val="tab"/>
      <w:lvlText w:val="%1."/>
      <w:rPr>
        <w:color w:val="3370ff"/>
      </w:rPr>
    </w:lvl>
  </w:abstractNum>
  <w:abstractNum w:abstractNumId="575476">
    <w:lvl>
      <w:start w:val="3"/>
      <w:numFmt w:val="decimal"/>
      <w:suff w:val="tab"/>
      <w:lvlText w:val="%1."/>
      <w:rPr>
        <w:color w:val="3370ff"/>
      </w:rPr>
    </w:lvl>
  </w:abstractNum>
  <w:abstractNum w:abstractNumId="575477">
    <w:lvl>
      <w:start w:val="4"/>
      <w:numFmt w:val="decimal"/>
      <w:suff w:val="tab"/>
      <w:lvlText w:val="%1."/>
      <w:rPr>
        <w:color w:val="3370ff"/>
      </w:rPr>
    </w:lvl>
  </w:abstractNum>
  <w:abstractNum w:abstractNumId="575478">
    <w:lvl>
      <w:numFmt w:val="bullet"/>
      <w:suff w:val="tab"/>
      <w:lvlText w:val="•"/>
      <w:rPr>
        <w:color w:val="3370ff"/>
      </w:rPr>
    </w:lvl>
  </w:abstractNum>
  <w:abstractNum w:abstractNumId="575479">
    <w:lvl>
      <w:numFmt w:val="bullet"/>
      <w:suff w:val="tab"/>
      <w:lvlText w:val="•"/>
      <w:rPr>
        <w:color w:val="3370ff"/>
      </w:rPr>
    </w:lvl>
  </w:abstractNum>
  <w:abstractNum w:abstractNumId="575480">
    <w:lvl>
      <w:numFmt w:val="bullet"/>
      <w:suff w:val="tab"/>
      <w:lvlText w:val="•"/>
      <w:rPr>
        <w:color w:val="3370ff"/>
      </w:rPr>
    </w:lvl>
  </w:abstractNum>
  <w:abstractNum w:abstractNumId="575481">
    <w:lvl>
      <w:numFmt w:val="bullet"/>
      <w:suff w:val="tab"/>
      <w:lvlText w:val="•"/>
      <w:rPr>
        <w:color w:val="3370ff"/>
      </w:rPr>
    </w:lvl>
  </w:abstractNum>
  <w:abstractNum w:abstractNumId="575482">
    <w:lvl>
      <w:numFmt w:val="bullet"/>
      <w:suff w:val="tab"/>
      <w:lvlText w:val="•"/>
      <w:rPr>
        <w:color w:val="3370ff"/>
      </w:rPr>
    </w:lvl>
  </w:abstractNum>
  <w:abstractNum w:abstractNumId="575483">
    <w:lvl>
      <w:numFmt w:val="bullet"/>
      <w:suff w:val="tab"/>
      <w:lvlText w:val="•"/>
      <w:rPr>
        <w:color w:val="3370ff"/>
      </w:rPr>
    </w:lvl>
  </w:abstractNum>
  <w:abstractNum w:abstractNumId="575484">
    <w:lvl>
      <w:start w:val="1"/>
      <w:numFmt w:val="decimal"/>
      <w:suff w:val="tab"/>
      <w:lvlText w:val="%1."/>
      <w:rPr>
        <w:color w:val="3370ff"/>
      </w:rPr>
    </w:lvl>
  </w:abstractNum>
  <w:abstractNum w:abstractNumId="575485">
    <w:lvl>
      <w:start w:val="2"/>
      <w:numFmt w:val="decimal"/>
      <w:suff w:val="tab"/>
      <w:lvlText w:val="%1."/>
      <w:rPr>
        <w:color w:val="3370ff"/>
      </w:rPr>
    </w:lvl>
  </w:abstractNum>
  <w:abstractNum w:abstractNumId="575486">
    <w:lvl>
      <w:start w:val="3"/>
      <w:numFmt w:val="decimal"/>
      <w:suff w:val="tab"/>
      <w:lvlText w:val="%1."/>
      <w:rPr>
        <w:color w:val="3370ff"/>
      </w:rPr>
    </w:lvl>
  </w:abstractNum>
  <w:abstractNum w:abstractNumId="575487">
    <w:lvl>
      <w:numFmt w:val="bullet"/>
      <w:suff w:val="tab"/>
      <w:lvlText w:val="￮"/>
      <w:rPr>
        <w:color w:val="3370ff"/>
      </w:rPr>
    </w:lvl>
  </w:abstractNum>
  <w:abstractNum w:abstractNumId="575488">
    <w:lvl>
      <w:numFmt w:val="bullet"/>
      <w:suff w:val="tab"/>
      <w:lvlText w:val="￮"/>
      <w:rPr>
        <w:color w:val="3370ff"/>
      </w:rPr>
    </w:lvl>
  </w:abstractNum>
  <w:abstractNum w:abstractNumId="575489">
    <w:lvl>
      <w:start w:val="4"/>
      <w:numFmt w:val="decimal"/>
      <w:suff w:val="tab"/>
      <w:lvlText w:val="%1."/>
      <w:rPr>
        <w:color w:val="3370ff"/>
      </w:rPr>
    </w:lvl>
  </w:abstractNum>
  <w:abstractNum w:abstractNumId="575490">
    <w:lvl>
      <w:start w:val="1"/>
      <w:numFmt w:val="decimal"/>
      <w:suff w:val="tab"/>
      <w:lvlText w:val="%1."/>
      <w:rPr>
        <w:color w:val="3370ff"/>
      </w:rPr>
    </w:lvl>
  </w:abstractNum>
  <w:abstractNum w:abstractNumId="575491">
    <w:lvl>
      <w:start w:val="2"/>
      <w:numFmt w:val="decimal"/>
      <w:suff w:val="tab"/>
      <w:lvlText w:val="%1."/>
      <w:rPr>
        <w:color w:val="3370ff"/>
      </w:rPr>
    </w:lvl>
  </w:abstractNum>
  <w:abstractNum w:abstractNumId="575492">
    <w:lvl>
      <w:start w:val="3"/>
      <w:numFmt w:val="decimal"/>
      <w:suff w:val="tab"/>
      <w:lvlText w:val="%1."/>
      <w:rPr>
        <w:color w:val="3370ff"/>
      </w:rPr>
    </w:lvl>
  </w:abstractNum>
  <w:abstractNum w:abstractNumId="575493">
    <w:lvl>
      <w:start w:val="4"/>
      <w:numFmt w:val="decimal"/>
      <w:suff w:val="tab"/>
      <w:lvlText w:val="%1."/>
      <w:rPr>
        <w:color w:val="3370ff"/>
      </w:rPr>
    </w:lvl>
  </w:abstractNum>
  <w:abstractNum w:abstractNumId="575494">
    <w:lvl>
      <w:start w:val="5"/>
      <w:numFmt w:val="decimal"/>
      <w:suff w:val="tab"/>
      <w:lvlText w:val="%1."/>
      <w:rPr>
        <w:color w:val="3370ff"/>
      </w:rPr>
    </w:lvl>
  </w:abstractNum>
  <w:abstractNum w:abstractNumId="575495">
    <w:lvl>
      <w:start w:val="6"/>
      <w:numFmt w:val="decimal"/>
      <w:suff w:val="tab"/>
      <w:lvlText w:val="%1."/>
      <w:rPr>
        <w:color w:val="3370ff"/>
      </w:rPr>
    </w:lvl>
  </w:abstractNum>
  <w:abstractNum w:abstractNumId="575496">
    <w:lvl>
      <w:start w:val="1"/>
      <w:numFmt w:val="decimal"/>
      <w:suff w:val="tab"/>
      <w:lvlText w:val="%1."/>
      <w:rPr>
        <w:color w:val="3370ff"/>
      </w:rPr>
    </w:lvl>
  </w:abstractNum>
  <w:abstractNum w:abstractNumId="575497">
    <w:lvl>
      <w:start w:val="2"/>
      <w:numFmt w:val="decimal"/>
      <w:suff w:val="tab"/>
      <w:lvlText w:val="%1."/>
      <w:rPr>
        <w:color w:val="3370ff"/>
      </w:rPr>
    </w:lvl>
  </w:abstractNum>
  <w:abstractNum w:abstractNumId="575498">
    <w:lvl>
      <w:start w:val="3"/>
      <w:numFmt w:val="decimal"/>
      <w:suff w:val="tab"/>
      <w:lvlText w:val="%1."/>
      <w:rPr>
        <w:color w:val="3370ff"/>
      </w:rPr>
    </w:lvl>
  </w:abstractNum>
  <w:abstractNum w:abstractNumId="575499">
    <w:lvl>
      <w:start w:val="4"/>
      <w:numFmt w:val="decimal"/>
      <w:suff w:val="tab"/>
      <w:lvlText w:val="%1."/>
      <w:rPr>
        <w:color w:val="3370ff"/>
      </w:rPr>
    </w:lvl>
  </w:abstractNum>
  <w:abstractNum w:abstractNumId="575500">
    <w:lvl>
      <w:numFmt w:val="bullet"/>
      <w:suff w:val="tab"/>
      <w:lvlText w:val="•"/>
      <w:rPr>
        <w:color w:val="3370ff"/>
      </w:rPr>
    </w:lvl>
  </w:abstractNum>
  <w:abstractNum w:abstractNumId="575501">
    <w:lvl>
      <w:numFmt w:val="bullet"/>
      <w:suff w:val="tab"/>
      <w:lvlText w:val="•"/>
      <w:rPr>
        <w:color w:val="3370ff"/>
      </w:rPr>
    </w:lvl>
  </w:abstractNum>
  <w:abstractNum w:abstractNumId="575502">
    <w:lvl>
      <w:numFmt w:val="bullet"/>
      <w:suff w:val="tab"/>
      <w:lvlText w:val="•"/>
      <w:rPr>
        <w:color w:val="3370ff"/>
      </w:rPr>
    </w:lvl>
  </w:abstractNum>
  <w:num w:numId="1">
    <w:abstractNumId w:val="575474"/>
  </w:num>
  <w:num w:numId="2">
    <w:abstractNumId w:val="575475"/>
  </w:num>
  <w:num w:numId="3">
    <w:abstractNumId w:val="575476"/>
  </w:num>
  <w:num w:numId="4">
    <w:abstractNumId w:val="575477"/>
  </w:num>
  <w:num w:numId="5">
    <w:abstractNumId w:val="575478"/>
  </w:num>
  <w:num w:numId="6">
    <w:abstractNumId w:val="575479"/>
  </w:num>
  <w:num w:numId="7">
    <w:abstractNumId w:val="575480"/>
  </w:num>
  <w:num w:numId="8">
    <w:abstractNumId w:val="575481"/>
  </w:num>
  <w:num w:numId="9">
    <w:abstractNumId w:val="575482"/>
  </w:num>
  <w:num w:numId="10">
    <w:abstractNumId w:val="575483"/>
  </w:num>
  <w:num w:numId="11">
    <w:abstractNumId w:val="575484"/>
  </w:num>
  <w:num w:numId="12">
    <w:abstractNumId w:val="575485"/>
  </w:num>
  <w:num w:numId="13">
    <w:abstractNumId w:val="575486"/>
  </w:num>
  <w:num w:numId="14">
    <w:abstractNumId w:val="575487"/>
  </w:num>
  <w:num w:numId="15">
    <w:abstractNumId w:val="575488"/>
  </w:num>
  <w:num w:numId="16">
    <w:abstractNumId w:val="575489"/>
  </w:num>
  <w:num w:numId="17">
    <w:abstractNumId w:val="575490"/>
  </w:num>
  <w:num w:numId="18">
    <w:abstractNumId w:val="575491"/>
  </w:num>
  <w:num w:numId="19">
    <w:abstractNumId w:val="575492"/>
  </w:num>
  <w:num w:numId="20">
    <w:abstractNumId w:val="575493"/>
  </w:num>
  <w:num w:numId="21">
    <w:abstractNumId w:val="575494"/>
  </w:num>
  <w:num w:numId="22">
    <w:abstractNumId w:val="575495"/>
  </w:num>
  <w:num w:numId="23">
    <w:abstractNumId w:val="575496"/>
  </w:num>
  <w:num w:numId="24">
    <w:abstractNumId w:val="575497"/>
  </w:num>
  <w:num w:numId="25">
    <w:abstractNumId w:val="575498"/>
  </w:num>
  <w:num w:numId="26">
    <w:abstractNumId w:val="575499"/>
  </w:num>
  <w:num w:numId="27">
    <w:abstractNumId w:val="575500"/>
  </w:num>
  <w:num w:numId="28">
    <w:abstractNumId w:val="575501"/>
  </w:num>
  <w:num w:numId="29">
    <w:abstractNumId w:val="57550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2026-05-13T05:23:44Z</dcterms:created>
  <dc:creator>Apache POI</dc:creator>
</cp:coreProperties>
</file>